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hint="eastAsia"/>
          <w:sz w:val="30"/>
          <w:szCs w:val="30"/>
        </w:rPr>
      </w:pPr>
      <w:r>
        <w:rPr>
          <w:rFonts w:hint="eastAsia"/>
          <w:sz w:val="30"/>
          <w:szCs w:val="30"/>
        </w:rPr>
        <w:t>附件一：</w:t>
      </w:r>
    </w:p>
    <w:p>
      <w:pPr>
        <w:pStyle w:val="15"/>
        <w:jc w:val="center"/>
        <w:rPr>
          <w:rFonts w:hint="eastAsia"/>
          <w:sz w:val="30"/>
          <w:szCs w:val="30"/>
        </w:rPr>
      </w:pPr>
      <w:r>
        <w:rPr>
          <w:rFonts w:hint="eastAsia"/>
          <w:sz w:val="30"/>
          <w:szCs w:val="30"/>
        </w:rPr>
        <w:t>重点优抚对象财政支出绩效自评报告</w:t>
      </w:r>
    </w:p>
    <w:p>
      <w:pPr>
        <w:pStyle w:val="15"/>
        <w:rPr>
          <w:rFonts w:hint="eastAsia"/>
          <w:sz w:val="30"/>
          <w:szCs w:val="30"/>
        </w:rPr>
      </w:pPr>
      <w:r>
        <w:rPr>
          <w:rFonts w:hint="eastAsia"/>
          <w:sz w:val="30"/>
          <w:szCs w:val="30"/>
        </w:rPr>
        <w:t>　　一、项目概况</w:t>
      </w:r>
    </w:p>
    <w:p>
      <w:pPr>
        <w:pStyle w:val="15"/>
        <w:rPr>
          <w:rFonts w:hint="eastAsia"/>
          <w:sz w:val="30"/>
          <w:szCs w:val="30"/>
        </w:rPr>
      </w:pPr>
      <w:r>
        <w:rPr>
          <w:rFonts w:hint="eastAsia"/>
          <w:sz w:val="30"/>
          <w:szCs w:val="30"/>
        </w:rPr>
        <w:t>　　（一）项目实施情况</w:t>
      </w:r>
    </w:p>
    <w:p>
      <w:pPr>
        <w:pStyle w:val="15"/>
        <w:rPr>
          <w:rFonts w:hint="eastAsia"/>
          <w:sz w:val="30"/>
          <w:szCs w:val="30"/>
        </w:rPr>
      </w:pPr>
      <w:r>
        <w:rPr>
          <w:rFonts w:hint="eastAsia"/>
          <w:sz w:val="30"/>
          <w:szCs w:val="30"/>
        </w:rPr>
        <w:t>　　1、项目实施背景</w:t>
      </w:r>
    </w:p>
    <w:p>
      <w:pPr>
        <w:pStyle w:val="15"/>
        <w:rPr>
          <w:rFonts w:hint="eastAsia"/>
          <w:sz w:val="30"/>
          <w:szCs w:val="30"/>
        </w:rPr>
      </w:pPr>
      <w:r>
        <w:rPr>
          <w:rFonts w:hint="eastAsia"/>
          <w:sz w:val="30"/>
          <w:szCs w:val="30"/>
        </w:rPr>
        <w:t>　　为进一步巩固我区军政军民团结的大好局面和全国双拥模范城创建成果，根据《厦门市退役军人事务局厦门市财政局关于调整我市部分优抚对象抚恤和生活补助标准的通知》（厦退役军人局〔2019〕86号）、《厦门市退役军人事务局关于烈士纪念日走访慰问烈士遗属的通知》《厦门市退役军人事务局 厦门市双拥共建办关于“八一”建军节期间慰问部分优抚对象的通知》（厦退役军人局〔2020〕53号）等文件精神，发放重点优抚对象抚恤金，保证抚恤经费及时、完整、准确、足额地发放到部分优抚对象等人员手中。</w:t>
      </w:r>
    </w:p>
    <w:p>
      <w:pPr>
        <w:pStyle w:val="15"/>
        <w:rPr>
          <w:rFonts w:hint="eastAsia"/>
          <w:sz w:val="30"/>
          <w:szCs w:val="30"/>
        </w:rPr>
      </w:pPr>
      <w:r>
        <w:rPr>
          <w:rFonts w:hint="eastAsia"/>
          <w:sz w:val="30"/>
          <w:szCs w:val="30"/>
        </w:rPr>
        <w:t>　　2、主要依据</w:t>
      </w:r>
    </w:p>
    <w:p>
      <w:pPr>
        <w:pStyle w:val="15"/>
        <w:rPr>
          <w:rFonts w:hint="eastAsia"/>
          <w:sz w:val="30"/>
          <w:szCs w:val="30"/>
        </w:rPr>
      </w:pPr>
      <w:r>
        <w:rPr>
          <w:rFonts w:hint="eastAsia"/>
          <w:sz w:val="30"/>
          <w:szCs w:val="30"/>
        </w:rPr>
        <w:t>　　（1）《厦门市退役军人事务局厦门市财政局关于调整我市部分优抚对象等人员抚恤和生活补助标准的通知》（厦退役军人局〔2021〕94号）；</w:t>
      </w:r>
    </w:p>
    <w:p>
      <w:pPr>
        <w:pStyle w:val="15"/>
        <w:rPr>
          <w:rFonts w:hint="eastAsia"/>
          <w:sz w:val="30"/>
          <w:szCs w:val="30"/>
        </w:rPr>
      </w:pPr>
      <w:r>
        <w:rPr>
          <w:rFonts w:hint="eastAsia"/>
          <w:sz w:val="30"/>
          <w:szCs w:val="30"/>
        </w:rPr>
        <w:t>　　（2）《厦门市退役军人事务局转发省</w:t>
      </w:r>
      <w:bookmarkStart w:id="0" w:name="_GoBack"/>
      <w:bookmarkEnd w:id="0"/>
      <w:r>
        <w:rPr>
          <w:rFonts w:hint="eastAsia"/>
          <w:sz w:val="30"/>
          <w:szCs w:val="30"/>
          <w:lang w:eastAsia="zh-CN"/>
        </w:rPr>
        <w:t>退役军人事务厅</w:t>
      </w:r>
      <w:r>
        <w:rPr>
          <w:rFonts w:hint="eastAsia"/>
          <w:sz w:val="30"/>
          <w:szCs w:val="30"/>
        </w:rPr>
        <w:t>关于进一步做好关爱残疾 退役军人工作的通知》（厦退役军人局 〔2021〕58号）；</w:t>
      </w:r>
    </w:p>
    <w:p>
      <w:pPr>
        <w:pStyle w:val="15"/>
        <w:rPr>
          <w:rFonts w:hint="eastAsia"/>
          <w:sz w:val="30"/>
          <w:szCs w:val="30"/>
        </w:rPr>
      </w:pPr>
      <w:r>
        <w:rPr>
          <w:rFonts w:hint="eastAsia"/>
          <w:sz w:val="30"/>
          <w:szCs w:val="30"/>
        </w:rPr>
        <w:t>　　（3）《退役军人事务部中央军委政治工作部全国双拥工作领导小组办公室关于做好“八一”期间拥军优属拥政爱民工作的通知》。</w:t>
      </w:r>
    </w:p>
    <w:p>
      <w:pPr>
        <w:pStyle w:val="15"/>
        <w:rPr>
          <w:rFonts w:hint="eastAsia"/>
          <w:sz w:val="30"/>
          <w:szCs w:val="30"/>
        </w:rPr>
      </w:pPr>
      <w:r>
        <w:rPr>
          <w:rFonts w:hint="eastAsia"/>
          <w:sz w:val="30"/>
          <w:szCs w:val="30"/>
        </w:rPr>
        <w:t>　　3、实施年度</w:t>
      </w:r>
    </w:p>
    <w:p>
      <w:pPr>
        <w:pStyle w:val="15"/>
        <w:rPr>
          <w:rFonts w:hint="eastAsia"/>
          <w:sz w:val="30"/>
          <w:szCs w:val="30"/>
        </w:rPr>
      </w:pPr>
      <w:r>
        <w:rPr>
          <w:rFonts w:hint="eastAsia"/>
          <w:sz w:val="30"/>
          <w:szCs w:val="30"/>
        </w:rPr>
        <w:t>　　本项目实施年度为2022年。</w:t>
      </w:r>
    </w:p>
    <w:p>
      <w:pPr>
        <w:pStyle w:val="15"/>
        <w:rPr>
          <w:rFonts w:hint="eastAsia"/>
          <w:sz w:val="30"/>
          <w:szCs w:val="30"/>
        </w:rPr>
      </w:pPr>
      <w:r>
        <w:rPr>
          <w:rFonts w:hint="eastAsia"/>
          <w:sz w:val="30"/>
          <w:szCs w:val="30"/>
        </w:rPr>
        <w:t>　　4、实施范围</w:t>
      </w:r>
    </w:p>
    <w:p>
      <w:pPr>
        <w:pStyle w:val="15"/>
        <w:rPr>
          <w:rFonts w:hint="eastAsia"/>
          <w:sz w:val="30"/>
          <w:szCs w:val="30"/>
        </w:rPr>
      </w:pPr>
      <w:r>
        <w:rPr>
          <w:rFonts w:hint="eastAsia"/>
          <w:sz w:val="30"/>
          <w:szCs w:val="30"/>
        </w:rPr>
        <w:t>　　本项目经费用于开展拥军优属活动，落实优抚政策，包括重点优抚对象、在乡复员退伍军人、关系在退管中心“两参”退役人员的生活补助每月发放，残疾军人一次性发放生活补助以及部分重点优抚对象体检、优抚对象八一慰问等。</w:t>
      </w:r>
    </w:p>
    <w:p>
      <w:pPr>
        <w:pStyle w:val="15"/>
        <w:rPr>
          <w:rFonts w:hint="eastAsia"/>
          <w:sz w:val="30"/>
          <w:szCs w:val="30"/>
        </w:rPr>
      </w:pPr>
      <w:r>
        <w:rPr>
          <w:rFonts w:hint="eastAsia"/>
          <w:sz w:val="30"/>
          <w:szCs w:val="30"/>
        </w:rPr>
        <w:t>　　5、实施程序等</w:t>
      </w:r>
    </w:p>
    <w:p>
      <w:pPr>
        <w:pStyle w:val="15"/>
        <w:rPr>
          <w:rFonts w:hint="eastAsia"/>
          <w:sz w:val="30"/>
          <w:szCs w:val="30"/>
        </w:rPr>
      </w:pPr>
      <w:r>
        <w:rPr>
          <w:rFonts w:hint="eastAsia"/>
          <w:sz w:val="30"/>
          <w:szCs w:val="30"/>
        </w:rPr>
        <w:t>　　本项目纳入年度绩效管理中，根据项目实际情况建立年初预算绩效申报，编制绩效目标。年中进行项目监控，项目经办人收集统计慰问对象人员名单、银行卡号等资料，财务部门负责将慰问金发放（转账）至慰问对象。</w:t>
      </w:r>
    </w:p>
    <w:p>
      <w:pPr>
        <w:pStyle w:val="15"/>
        <w:rPr>
          <w:rFonts w:hint="eastAsia"/>
          <w:sz w:val="30"/>
          <w:szCs w:val="30"/>
        </w:rPr>
      </w:pPr>
      <w:r>
        <w:rPr>
          <w:rFonts w:hint="eastAsia"/>
          <w:sz w:val="30"/>
          <w:szCs w:val="30"/>
        </w:rPr>
        <w:t>　　（二）财政支出情况</w:t>
      </w:r>
    </w:p>
    <w:p>
      <w:pPr>
        <w:pStyle w:val="15"/>
        <w:rPr>
          <w:rFonts w:hint="eastAsia"/>
          <w:sz w:val="30"/>
          <w:szCs w:val="30"/>
        </w:rPr>
      </w:pPr>
      <w:r>
        <w:rPr>
          <w:rFonts w:hint="eastAsia"/>
          <w:sz w:val="30"/>
          <w:szCs w:val="30"/>
        </w:rPr>
        <w:t>　　1、 支出预算情况</w:t>
      </w:r>
    </w:p>
    <w:p>
      <w:pPr>
        <w:pStyle w:val="15"/>
        <w:rPr>
          <w:rFonts w:hint="eastAsia"/>
          <w:sz w:val="30"/>
          <w:szCs w:val="30"/>
        </w:rPr>
      </w:pPr>
      <w:r>
        <w:rPr>
          <w:rFonts w:hint="eastAsia"/>
          <w:sz w:val="30"/>
          <w:szCs w:val="30"/>
        </w:rPr>
        <w:t>　　2022年本项目年初预算115.00万元，预算追加10.32万元，总预算125.32万元，实际支出数124.79万元。</w:t>
      </w:r>
    </w:p>
    <w:p>
      <w:pPr>
        <w:pStyle w:val="15"/>
        <w:rPr>
          <w:rFonts w:hint="eastAsia"/>
          <w:sz w:val="30"/>
          <w:szCs w:val="30"/>
        </w:rPr>
      </w:pPr>
      <w:r>
        <w:rPr>
          <w:rFonts w:hint="eastAsia"/>
          <w:sz w:val="30"/>
          <w:szCs w:val="30"/>
        </w:rPr>
        <w:t>　　2、 资金使用范围对象</w:t>
      </w:r>
    </w:p>
    <w:p>
      <w:pPr>
        <w:pStyle w:val="15"/>
        <w:rPr>
          <w:rFonts w:hint="eastAsia"/>
          <w:sz w:val="30"/>
          <w:szCs w:val="30"/>
        </w:rPr>
      </w:pPr>
      <w:r>
        <w:rPr>
          <w:rFonts w:hint="eastAsia"/>
          <w:sz w:val="30"/>
          <w:szCs w:val="30"/>
        </w:rPr>
        <w:t>　　本项目资金共计支出124.79万元。</w:t>
      </w:r>
    </w:p>
    <w:tbl>
      <w:tblPr>
        <w:tblStyle w:val="7"/>
        <w:tblW w:w="5000" w:type="pct"/>
        <w:jc w:val="center"/>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autofit"/>
        <w:tblCellMar>
          <w:top w:w="0" w:type="dxa"/>
          <w:left w:w="0" w:type="dxa"/>
          <w:bottom w:w="0" w:type="dxa"/>
          <w:right w:w="0" w:type="dxa"/>
        </w:tblCellMar>
      </w:tblPr>
      <w:tblGrid>
        <w:gridCol w:w="6603"/>
        <w:gridCol w:w="2825"/>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634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项  目 支 出</w:t>
            </w:r>
          </w:p>
        </w:tc>
        <w:tc>
          <w:tcPr>
            <w:tcW w:w="271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金 额（单位：万元）</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634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60周岁以上农村籍退役士兵生活补助金</w:t>
            </w:r>
          </w:p>
        </w:tc>
        <w:tc>
          <w:tcPr>
            <w:tcW w:w="2715" w:type="dxa"/>
            <w:tcBorders>
              <w:top w:val="outset" w:color="000000" w:sz="6" w:space="0"/>
              <w:left w:val="outset" w:color="000000" w:sz="6" w:space="0"/>
              <w:bottom w:val="outset" w:color="000000" w:sz="6" w:space="0"/>
              <w:right w:val="outset" w:color="000000" w:sz="6" w:space="0"/>
            </w:tcBorders>
            <w:shd w:val="clear" w:color="auto" w:fill="FFFFFF"/>
            <w:vAlign w:val="top"/>
          </w:tcPr>
          <w:p>
            <w:pPr>
              <w:pStyle w:val="15"/>
              <w:rPr>
                <w:rFonts w:hint="eastAsia"/>
                <w:sz w:val="30"/>
                <w:szCs w:val="30"/>
              </w:rPr>
            </w:pPr>
            <w:r>
              <w:rPr>
                <w:rFonts w:hint="eastAsia"/>
                <w:sz w:val="30"/>
                <w:szCs w:val="30"/>
              </w:rPr>
              <w:t>　　15.69</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634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70周岁以上重点优抚对象生日慰问</w:t>
            </w:r>
          </w:p>
        </w:tc>
        <w:tc>
          <w:tcPr>
            <w:tcW w:w="2715" w:type="dxa"/>
            <w:tcBorders>
              <w:top w:val="outset" w:color="000000" w:sz="6" w:space="0"/>
              <w:left w:val="outset" w:color="000000" w:sz="6" w:space="0"/>
              <w:bottom w:val="outset" w:color="000000" w:sz="6" w:space="0"/>
              <w:right w:val="outset" w:color="000000" w:sz="6" w:space="0"/>
            </w:tcBorders>
            <w:shd w:val="clear" w:color="auto" w:fill="FFFFFF"/>
            <w:vAlign w:val="top"/>
          </w:tcPr>
          <w:p>
            <w:pPr>
              <w:pStyle w:val="15"/>
              <w:rPr>
                <w:rFonts w:hint="eastAsia"/>
                <w:sz w:val="30"/>
                <w:szCs w:val="30"/>
              </w:rPr>
            </w:pPr>
            <w:r>
              <w:rPr>
                <w:rFonts w:hint="eastAsia"/>
                <w:sz w:val="30"/>
                <w:szCs w:val="30"/>
              </w:rPr>
              <w:t>　　0.03</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634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八一优抚对象慰问金</w:t>
            </w:r>
          </w:p>
        </w:tc>
        <w:tc>
          <w:tcPr>
            <w:tcW w:w="2715" w:type="dxa"/>
            <w:tcBorders>
              <w:top w:val="outset" w:color="000000" w:sz="6" w:space="0"/>
              <w:left w:val="outset" w:color="000000" w:sz="6" w:space="0"/>
              <w:bottom w:val="outset" w:color="000000" w:sz="6" w:space="0"/>
              <w:right w:val="outset" w:color="000000" w:sz="6" w:space="0"/>
            </w:tcBorders>
            <w:shd w:val="clear" w:color="auto" w:fill="FFFFFF"/>
            <w:vAlign w:val="top"/>
          </w:tcPr>
          <w:p>
            <w:pPr>
              <w:pStyle w:val="15"/>
              <w:rPr>
                <w:rFonts w:hint="eastAsia"/>
                <w:sz w:val="30"/>
                <w:szCs w:val="30"/>
              </w:rPr>
            </w:pPr>
            <w:r>
              <w:rPr>
                <w:rFonts w:hint="eastAsia"/>
                <w:sz w:val="30"/>
                <w:szCs w:val="30"/>
              </w:rPr>
              <w:t>　　7.60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634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补发21.8-22.3部分优抚对象抚恤金和生活补助金</w:t>
            </w:r>
          </w:p>
        </w:tc>
        <w:tc>
          <w:tcPr>
            <w:tcW w:w="2715" w:type="dxa"/>
            <w:tcBorders>
              <w:top w:val="outset" w:color="000000" w:sz="6" w:space="0"/>
              <w:left w:val="outset" w:color="000000" w:sz="6" w:space="0"/>
              <w:bottom w:val="outset" w:color="000000" w:sz="6" w:space="0"/>
              <w:right w:val="outset" w:color="000000" w:sz="6" w:space="0"/>
            </w:tcBorders>
            <w:shd w:val="clear" w:color="auto" w:fill="FFFFFF"/>
            <w:vAlign w:val="top"/>
          </w:tcPr>
          <w:p>
            <w:pPr>
              <w:pStyle w:val="15"/>
              <w:rPr>
                <w:rFonts w:hint="eastAsia"/>
                <w:sz w:val="30"/>
                <w:szCs w:val="30"/>
              </w:rPr>
            </w:pPr>
            <w:r>
              <w:rPr>
                <w:rFonts w:hint="eastAsia"/>
                <w:sz w:val="30"/>
                <w:szCs w:val="30"/>
              </w:rPr>
              <w:t>　　3.07</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jc w:val="center"/>
        </w:trPr>
        <w:tc>
          <w:tcPr>
            <w:tcW w:w="634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关系在退管中心“两参”退役人员生活补助</w:t>
            </w:r>
          </w:p>
        </w:tc>
        <w:tc>
          <w:tcPr>
            <w:tcW w:w="2715" w:type="dxa"/>
            <w:tcBorders>
              <w:top w:val="outset" w:color="000000" w:sz="6" w:space="0"/>
              <w:left w:val="outset" w:color="000000" w:sz="6" w:space="0"/>
              <w:bottom w:val="outset" w:color="000000" w:sz="6" w:space="0"/>
              <w:right w:val="outset" w:color="000000" w:sz="6" w:space="0"/>
            </w:tcBorders>
            <w:shd w:val="clear" w:color="auto" w:fill="FFFFFF"/>
            <w:vAlign w:val="top"/>
          </w:tcPr>
          <w:p>
            <w:pPr>
              <w:pStyle w:val="15"/>
              <w:rPr>
                <w:rFonts w:hint="eastAsia"/>
                <w:sz w:val="30"/>
                <w:szCs w:val="30"/>
              </w:rPr>
            </w:pPr>
            <w:r>
              <w:rPr>
                <w:rFonts w:hint="eastAsia"/>
                <w:sz w:val="30"/>
                <w:szCs w:val="30"/>
              </w:rPr>
              <w:t>　　3.01</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634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临时价格补贴</w:t>
            </w:r>
          </w:p>
        </w:tc>
        <w:tc>
          <w:tcPr>
            <w:tcW w:w="2715" w:type="dxa"/>
            <w:tcBorders>
              <w:top w:val="outset" w:color="000000" w:sz="6" w:space="0"/>
              <w:left w:val="outset" w:color="000000" w:sz="6" w:space="0"/>
              <w:bottom w:val="outset" w:color="000000" w:sz="6" w:space="0"/>
              <w:right w:val="outset" w:color="000000" w:sz="6" w:space="0"/>
            </w:tcBorders>
            <w:shd w:val="clear" w:color="auto" w:fill="FFFFFF"/>
            <w:vAlign w:val="top"/>
          </w:tcPr>
          <w:p>
            <w:pPr>
              <w:pStyle w:val="15"/>
              <w:rPr>
                <w:rFonts w:hint="eastAsia"/>
                <w:sz w:val="30"/>
                <w:szCs w:val="30"/>
              </w:rPr>
            </w:pPr>
            <w:r>
              <w:rPr>
                <w:rFonts w:hint="eastAsia"/>
                <w:sz w:val="30"/>
                <w:szCs w:val="30"/>
              </w:rPr>
              <w:t>　　0.92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634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支付2022年重点优抚对象体检费用</w:t>
            </w:r>
          </w:p>
        </w:tc>
        <w:tc>
          <w:tcPr>
            <w:tcW w:w="2715" w:type="dxa"/>
            <w:tcBorders>
              <w:top w:val="outset" w:color="000000" w:sz="6" w:space="0"/>
              <w:left w:val="outset" w:color="000000" w:sz="6" w:space="0"/>
              <w:bottom w:val="outset" w:color="000000" w:sz="6" w:space="0"/>
              <w:right w:val="outset" w:color="000000" w:sz="6" w:space="0"/>
            </w:tcBorders>
            <w:shd w:val="clear" w:color="auto" w:fill="FFFFFF"/>
            <w:vAlign w:val="top"/>
          </w:tcPr>
          <w:p>
            <w:pPr>
              <w:pStyle w:val="15"/>
              <w:rPr>
                <w:rFonts w:hint="eastAsia"/>
                <w:sz w:val="30"/>
                <w:szCs w:val="30"/>
              </w:rPr>
            </w:pPr>
            <w:r>
              <w:rPr>
                <w:rFonts w:hint="eastAsia"/>
                <w:sz w:val="30"/>
                <w:szCs w:val="30"/>
              </w:rPr>
              <w:t>　　1.26</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634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重点优抚对象生活补助金</w:t>
            </w:r>
          </w:p>
        </w:tc>
        <w:tc>
          <w:tcPr>
            <w:tcW w:w="2715" w:type="dxa"/>
            <w:tcBorders>
              <w:top w:val="outset" w:color="000000" w:sz="6" w:space="0"/>
              <w:left w:val="outset" w:color="000000" w:sz="6" w:space="0"/>
              <w:bottom w:val="outset" w:color="000000" w:sz="6" w:space="0"/>
              <w:right w:val="outset" w:color="000000" w:sz="6" w:space="0"/>
            </w:tcBorders>
            <w:shd w:val="clear" w:color="auto" w:fill="FFFFFF"/>
            <w:vAlign w:val="top"/>
          </w:tcPr>
          <w:p>
            <w:pPr>
              <w:pStyle w:val="15"/>
              <w:rPr>
                <w:rFonts w:hint="eastAsia"/>
                <w:sz w:val="30"/>
                <w:szCs w:val="30"/>
              </w:rPr>
            </w:pPr>
            <w:r>
              <w:rPr>
                <w:rFonts w:hint="eastAsia"/>
                <w:sz w:val="30"/>
                <w:szCs w:val="30"/>
              </w:rPr>
              <w:t>　　93.20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jc w:val="center"/>
        </w:trPr>
        <w:tc>
          <w:tcPr>
            <w:tcW w:w="634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合  计</w:t>
            </w:r>
          </w:p>
        </w:tc>
        <w:tc>
          <w:tcPr>
            <w:tcW w:w="2715" w:type="dxa"/>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15"/>
              <w:rPr>
                <w:rFonts w:hint="eastAsia"/>
                <w:sz w:val="30"/>
                <w:szCs w:val="30"/>
              </w:rPr>
            </w:pPr>
            <w:r>
              <w:rPr>
                <w:rFonts w:hint="eastAsia"/>
                <w:sz w:val="30"/>
                <w:szCs w:val="30"/>
              </w:rPr>
              <w:t>　　124.79</w:t>
            </w:r>
          </w:p>
        </w:tc>
      </w:tr>
    </w:tbl>
    <w:p>
      <w:pPr>
        <w:pStyle w:val="15"/>
        <w:rPr>
          <w:rFonts w:hint="eastAsia"/>
          <w:sz w:val="30"/>
          <w:szCs w:val="30"/>
        </w:rPr>
      </w:pPr>
      <w:r>
        <w:rPr>
          <w:rFonts w:hint="eastAsia"/>
          <w:sz w:val="30"/>
          <w:szCs w:val="30"/>
        </w:rPr>
        <w:t>　　3、 分配标准、程序</w:t>
      </w:r>
    </w:p>
    <w:p>
      <w:pPr>
        <w:pStyle w:val="15"/>
        <w:rPr>
          <w:rFonts w:hint="eastAsia"/>
          <w:sz w:val="30"/>
          <w:szCs w:val="30"/>
        </w:rPr>
      </w:pPr>
      <w:r>
        <w:rPr>
          <w:rFonts w:hint="eastAsia"/>
          <w:sz w:val="30"/>
          <w:szCs w:val="30"/>
        </w:rPr>
        <w:t>　　本项目资金按照文件慰问重点优抚对象、“两参”退役人员、农村籍退役士兵生活补助金，按照文件标准发放慰问金。</w:t>
      </w:r>
    </w:p>
    <w:p>
      <w:pPr>
        <w:pStyle w:val="15"/>
        <w:rPr>
          <w:rFonts w:hint="eastAsia"/>
          <w:sz w:val="30"/>
          <w:szCs w:val="30"/>
        </w:rPr>
      </w:pPr>
      <w:r>
        <w:rPr>
          <w:rFonts w:hint="eastAsia"/>
          <w:sz w:val="30"/>
          <w:szCs w:val="30"/>
        </w:rPr>
        <w:t>　　4、 资金管控情况</w:t>
      </w:r>
    </w:p>
    <w:p>
      <w:pPr>
        <w:pStyle w:val="15"/>
        <w:rPr>
          <w:rFonts w:hint="eastAsia"/>
          <w:sz w:val="30"/>
          <w:szCs w:val="30"/>
        </w:rPr>
      </w:pPr>
      <w:r>
        <w:rPr>
          <w:rFonts w:hint="eastAsia"/>
          <w:sz w:val="30"/>
          <w:szCs w:val="30"/>
        </w:rPr>
        <w:t>　　本项目资金严格按照《禾山街道财务管理制度》，结合项目实施进度拨付资金，实行财务专账管理，保证专项资金的安全有效使用，按照“退役军人事务部门核定对象、标准，财政部门核拨资金、金融机构代发放到人”，严格落实抚恤补助资金社会化发放，切实做到足额按月兑现。</w:t>
      </w:r>
    </w:p>
    <w:p>
      <w:pPr>
        <w:pStyle w:val="15"/>
        <w:rPr>
          <w:rFonts w:hint="eastAsia"/>
          <w:sz w:val="30"/>
          <w:szCs w:val="30"/>
        </w:rPr>
      </w:pPr>
      <w:r>
        <w:rPr>
          <w:rFonts w:hint="eastAsia"/>
          <w:sz w:val="30"/>
          <w:szCs w:val="30"/>
        </w:rPr>
        <w:t>　　5、 支出政策执行</w:t>
      </w:r>
    </w:p>
    <w:p>
      <w:pPr>
        <w:pStyle w:val="15"/>
        <w:rPr>
          <w:rFonts w:hint="eastAsia"/>
          <w:sz w:val="30"/>
          <w:szCs w:val="30"/>
        </w:rPr>
      </w:pPr>
      <w:r>
        <w:rPr>
          <w:rFonts w:hint="eastAsia"/>
          <w:sz w:val="30"/>
          <w:szCs w:val="30"/>
        </w:rPr>
        <w:t>　　本项目严格按照《厦门市退役军人事务局厦门市财政局关于调整我市部分优抚对象等人员抚恤和生活补助标准的通知》（厦退役军人局〔2021〕94号）、《厦门市退役军人事务局转发省</w:t>
      </w:r>
      <w:r>
        <w:rPr>
          <w:rFonts w:hint="eastAsia"/>
          <w:sz w:val="30"/>
          <w:szCs w:val="30"/>
          <w:lang w:eastAsia="zh-CN"/>
        </w:rPr>
        <w:t>退役军人事务厅</w:t>
      </w:r>
      <w:r>
        <w:rPr>
          <w:rFonts w:hint="eastAsia"/>
          <w:sz w:val="30"/>
          <w:szCs w:val="30"/>
        </w:rPr>
        <w:t>关于进一步做好关爱残疾退役军人工作的通知》（厦退役军人局〔2021〕58号）、《退役军人事务部中央军委政治工作部全国双拥工作领导小组办公室关于做好“八一”期间拥军优属拥政爱民工作的通知》等政策文件执行。落实各项优抚政策，及时足额发放优抚对象抚恤补助金和义务兵家属优待金，保障优抚对象基本生活。</w:t>
      </w:r>
    </w:p>
    <w:p>
      <w:pPr>
        <w:pStyle w:val="15"/>
        <w:rPr>
          <w:rFonts w:hint="eastAsia"/>
          <w:sz w:val="30"/>
          <w:szCs w:val="30"/>
        </w:rPr>
      </w:pPr>
      <w:r>
        <w:rPr>
          <w:rFonts w:hint="eastAsia"/>
          <w:sz w:val="30"/>
          <w:szCs w:val="30"/>
        </w:rPr>
        <w:t>　　6、 支出分担体制</w:t>
      </w:r>
    </w:p>
    <w:p>
      <w:pPr>
        <w:pStyle w:val="15"/>
        <w:rPr>
          <w:rFonts w:hint="eastAsia"/>
          <w:sz w:val="30"/>
          <w:szCs w:val="30"/>
        </w:rPr>
      </w:pPr>
      <w:r>
        <w:rPr>
          <w:rFonts w:hint="eastAsia"/>
          <w:sz w:val="30"/>
          <w:szCs w:val="30"/>
        </w:rPr>
        <w:t>　　本项目资金由区财政局承担。</w:t>
      </w:r>
    </w:p>
    <w:p>
      <w:pPr>
        <w:pStyle w:val="15"/>
        <w:rPr>
          <w:rFonts w:hint="eastAsia"/>
          <w:sz w:val="30"/>
          <w:szCs w:val="30"/>
        </w:rPr>
      </w:pPr>
      <w:r>
        <w:rPr>
          <w:rFonts w:hint="eastAsia"/>
          <w:sz w:val="30"/>
          <w:szCs w:val="30"/>
        </w:rPr>
        <w:t>　　二、绩效分析</w:t>
      </w:r>
    </w:p>
    <w:p>
      <w:pPr>
        <w:pStyle w:val="15"/>
        <w:rPr>
          <w:rFonts w:hint="eastAsia"/>
          <w:sz w:val="30"/>
          <w:szCs w:val="30"/>
        </w:rPr>
      </w:pPr>
      <w:r>
        <w:rPr>
          <w:rFonts w:hint="eastAsia"/>
          <w:sz w:val="30"/>
          <w:szCs w:val="30"/>
        </w:rPr>
        <w:t>　　（一）项目效益分析</w:t>
      </w:r>
    </w:p>
    <w:p>
      <w:pPr>
        <w:pStyle w:val="15"/>
        <w:rPr>
          <w:rFonts w:hint="eastAsia"/>
          <w:sz w:val="30"/>
          <w:szCs w:val="30"/>
        </w:rPr>
      </w:pPr>
      <w:r>
        <w:rPr>
          <w:rFonts w:hint="eastAsia"/>
          <w:sz w:val="30"/>
          <w:szCs w:val="30"/>
        </w:rPr>
        <w:t>　　1、任务完成情况及绩效目标实现情况</w:t>
      </w:r>
    </w:p>
    <w:p>
      <w:pPr>
        <w:pStyle w:val="15"/>
        <w:rPr>
          <w:rFonts w:hint="eastAsia"/>
          <w:sz w:val="30"/>
          <w:szCs w:val="30"/>
        </w:rPr>
      </w:pPr>
      <w:r>
        <w:rPr>
          <w:rFonts w:hint="eastAsia"/>
          <w:sz w:val="30"/>
          <w:szCs w:val="30"/>
        </w:rPr>
        <w:t>　　截至2022年12月，本项目共支出124.79万元，支出率99.58%。按月及时足额发放抚恤金和生活补助，保障优抚对象基本生活，下拨及时率100.00%</w:t>
      </w:r>
    </w:p>
    <w:p>
      <w:pPr>
        <w:pStyle w:val="15"/>
        <w:rPr>
          <w:rFonts w:hint="eastAsia"/>
          <w:sz w:val="30"/>
          <w:szCs w:val="30"/>
        </w:rPr>
      </w:pPr>
      <w:r>
        <w:rPr>
          <w:rFonts w:hint="eastAsia"/>
          <w:sz w:val="30"/>
          <w:szCs w:val="30"/>
        </w:rPr>
        <w:t>　　2、项目实施带动的经济效益、社会效益、可持续效益</w:t>
      </w:r>
    </w:p>
    <w:p>
      <w:pPr>
        <w:pStyle w:val="15"/>
        <w:rPr>
          <w:rFonts w:hint="eastAsia"/>
          <w:sz w:val="30"/>
          <w:szCs w:val="30"/>
        </w:rPr>
      </w:pPr>
      <w:r>
        <w:rPr>
          <w:rFonts w:hint="eastAsia"/>
          <w:sz w:val="30"/>
          <w:szCs w:val="30"/>
        </w:rPr>
        <w:t>　　落实各项优抚政策，及时足额发放优抚对象抚恤补助金和义务兵家属优待金，保障优抚对象基本生活，提升辖区拥军优属氛围。</w:t>
      </w:r>
    </w:p>
    <w:p>
      <w:pPr>
        <w:pStyle w:val="15"/>
        <w:rPr>
          <w:rFonts w:hint="eastAsia"/>
          <w:sz w:val="30"/>
          <w:szCs w:val="30"/>
        </w:rPr>
      </w:pPr>
      <w:r>
        <w:rPr>
          <w:rFonts w:hint="eastAsia"/>
          <w:sz w:val="30"/>
          <w:szCs w:val="30"/>
        </w:rPr>
        <w:t>　　3、项目实施带动的公众满意度</w:t>
      </w:r>
    </w:p>
    <w:p>
      <w:pPr>
        <w:pStyle w:val="15"/>
        <w:rPr>
          <w:rFonts w:hint="eastAsia"/>
          <w:sz w:val="30"/>
          <w:szCs w:val="30"/>
        </w:rPr>
      </w:pPr>
      <w:r>
        <w:rPr>
          <w:rFonts w:hint="eastAsia"/>
          <w:sz w:val="30"/>
          <w:szCs w:val="30"/>
        </w:rPr>
        <w:t>　　受益群体满意度≧95。</w:t>
      </w:r>
    </w:p>
    <w:p>
      <w:pPr>
        <w:pStyle w:val="15"/>
        <w:rPr>
          <w:rFonts w:hint="eastAsia"/>
          <w:sz w:val="30"/>
          <w:szCs w:val="30"/>
        </w:rPr>
      </w:pPr>
      <w:r>
        <w:rPr>
          <w:rFonts w:hint="eastAsia"/>
          <w:sz w:val="30"/>
          <w:szCs w:val="30"/>
        </w:rPr>
        <w:t>　　（二）支出效益分析。</w:t>
      </w:r>
    </w:p>
    <w:p>
      <w:pPr>
        <w:pStyle w:val="15"/>
        <w:rPr>
          <w:rFonts w:hint="eastAsia"/>
          <w:sz w:val="30"/>
          <w:szCs w:val="30"/>
        </w:rPr>
      </w:pPr>
      <w:r>
        <w:rPr>
          <w:rFonts w:hint="eastAsia"/>
          <w:sz w:val="30"/>
          <w:szCs w:val="30"/>
        </w:rPr>
        <w:t>　　1、支出进度</w:t>
      </w:r>
    </w:p>
    <w:p>
      <w:pPr>
        <w:pStyle w:val="15"/>
        <w:rPr>
          <w:rFonts w:hint="eastAsia"/>
          <w:sz w:val="30"/>
          <w:szCs w:val="30"/>
        </w:rPr>
      </w:pPr>
      <w:r>
        <w:rPr>
          <w:rFonts w:hint="eastAsia"/>
          <w:sz w:val="30"/>
          <w:szCs w:val="30"/>
        </w:rPr>
        <w:t>　　2022年本项目年初预算115.00万元，预算追加10.32万元，总预算125.32万元，实际授权支付数124.79万元，支出进度达到99.58%。</w:t>
      </w:r>
    </w:p>
    <w:p>
      <w:pPr>
        <w:pStyle w:val="15"/>
        <w:rPr>
          <w:rFonts w:hint="eastAsia"/>
          <w:sz w:val="30"/>
          <w:szCs w:val="30"/>
        </w:rPr>
      </w:pPr>
      <w:r>
        <w:rPr>
          <w:rFonts w:hint="eastAsia"/>
          <w:sz w:val="30"/>
          <w:szCs w:val="30"/>
        </w:rPr>
        <w:t>　　2、支出效率</w:t>
      </w:r>
    </w:p>
    <w:p>
      <w:pPr>
        <w:pStyle w:val="15"/>
        <w:rPr>
          <w:rFonts w:hint="eastAsia"/>
          <w:sz w:val="30"/>
          <w:szCs w:val="30"/>
        </w:rPr>
      </w:pPr>
      <w:r>
        <w:rPr>
          <w:rFonts w:hint="eastAsia"/>
          <w:sz w:val="30"/>
          <w:szCs w:val="30"/>
        </w:rPr>
        <w:t>　　截至2022年12月，本项目已支出124.79万元，经费下拨及时率100%，支出效率良好。</w:t>
      </w:r>
    </w:p>
    <w:p>
      <w:pPr>
        <w:pStyle w:val="15"/>
        <w:rPr>
          <w:rFonts w:hint="eastAsia"/>
          <w:sz w:val="30"/>
          <w:szCs w:val="30"/>
        </w:rPr>
      </w:pPr>
      <w:r>
        <w:rPr>
          <w:rFonts w:hint="eastAsia"/>
          <w:sz w:val="30"/>
          <w:szCs w:val="30"/>
        </w:rPr>
        <w:t>　　3、支出规范</w:t>
      </w:r>
    </w:p>
    <w:p>
      <w:pPr>
        <w:pStyle w:val="15"/>
        <w:rPr>
          <w:rFonts w:hint="eastAsia"/>
          <w:sz w:val="30"/>
          <w:szCs w:val="30"/>
        </w:rPr>
      </w:pPr>
      <w:r>
        <w:rPr>
          <w:rFonts w:hint="eastAsia"/>
          <w:sz w:val="30"/>
          <w:szCs w:val="30"/>
        </w:rPr>
        <w:t>　　根据2022年我街道重点优抚对象项目完成设定绩效目标，项目完成情况良好，根据文件要求以及财务管理制度，项目经费专款专用，及时下拨工作经费，保障项目顺利开展。</w:t>
      </w:r>
    </w:p>
    <w:p>
      <w:pPr>
        <w:pStyle w:val="15"/>
        <w:rPr>
          <w:rFonts w:hint="eastAsia"/>
          <w:sz w:val="30"/>
          <w:szCs w:val="30"/>
        </w:rPr>
      </w:pPr>
      <w:r>
        <w:rPr>
          <w:rFonts w:hint="eastAsia"/>
          <w:sz w:val="30"/>
          <w:szCs w:val="30"/>
        </w:rPr>
        <w:t>　　4、成本控制分析及效益情况</w:t>
      </w:r>
    </w:p>
    <w:p>
      <w:pPr>
        <w:pStyle w:val="15"/>
        <w:rPr>
          <w:rFonts w:hint="eastAsia"/>
          <w:sz w:val="30"/>
          <w:szCs w:val="30"/>
        </w:rPr>
      </w:pPr>
      <w:r>
        <w:rPr>
          <w:rFonts w:hint="eastAsia"/>
          <w:sz w:val="30"/>
          <w:szCs w:val="30"/>
        </w:rPr>
        <w:t>　　本项目成本控制得当，资金及时到位。在项目实施过程中，按时足额下拨优抚与生活补助经费款项。时足额发放优抚对象抚恤补助金和义务兵家属优待金，有效保障优抚对象基本生活。</w:t>
      </w:r>
    </w:p>
    <w:p>
      <w:pPr>
        <w:pStyle w:val="15"/>
        <w:rPr>
          <w:rFonts w:hint="eastAsia"/>
          <w:sz w:val="30"/>
          <w:szCs w:val="30"/>
        </w:rPr>
      </w:pPr>
      <w:r>
        <w:rPr>
          <w:rFonts w:hint="eastAsia"/>
          <w:sz w:val="30"/>
          <w:szCs w:val="30"/>
        </w:rPr>
        <w:t>　　（三）评价分值和等级</w:t>
      </w:r>
    </w:p>
    <w:p>
      <w:pPr>
        <w:pStyle w:val="15"/>
        <w:rPr>
          <w:rFonts w:hint="eastAsia"/>
          <w:sz w:val="30"/>
          <w:szCs w:val="30"/>
        </w:rPr>
      </w:pPr>
      <w:r>
        <w:rPr>
          <w:rFonts w:hint="eastAsia"/>
          <w:sz w:val="30"/>
          <w:szCs w:val="30"/>
        </w:rPr>
        <w:t>　　根据上述分析，确定本项目绩效评价分值99分，等级为优。</w:t>
      </w:r>
    </w:p>
    <w:p>
      <w:pPr>
        <w:pStyle w:val="15"/>
        <w:rPr>
          <w:rFonts w:hint="eastAsia"/>
          <w:sz w:val="30"/>
          <w:szCs w:val="30"/>
        </w:rPr>
      </w:pPr>
      <w:r>
        <w:rPr>
          <w:rFonts w:hint="eastAsia"/>
          <w:sz w:val="30"/>
          <w:szCs w:val="30"/>
        </w:rPr>
        <w:t>　　三、存在问题</w:t>
      </w:r>
    </w:p>
    <w:p>
      <w:pPr>
        <w:pStyle w:val="15"/>
        <w:rPr>
          <w:rFonts w:hint="eastAsia"/>
          <w:sz w:val="30"/>
          <w:szCs w:val="30"/>
        </w:rPr>
      </w:pPr>
      <w:r>
        <w:rPr>
          <w:rFonts w:hint="eastAsia"/>
          <w:sz w:val="30"/>
          <w:szCs w:val="30"/>
        </w:rPr>
        <w:t>　　（一）项目实施存在的问题</w:t>
      </w:r>
    </w:p>
    <w:p>
      <w:pPr>
        <w:pStyle w:val="15"/>
        <w:rPr>
          <w:rFonts w:hint="eastAsia"/>
          <w:sz w:val="30"/>
          <w:szCs w:val="30"/>
        </w:rPr>
      </w:pPr>
      <w:r>
        <w:rPr>
          <w:rFonts w:hint="eastAsia"/>
          <w:sz w:val="30"/>
          <w:szCs w:val="30"/>
        </w:rPr>
        <w:t>　　本项目实施过程中，资金足额下拨、资金到位及时，优抚与生活补助项目工作正常运行，实施过程中不存在问题。</w:t>
      </w:r>
    </w:p>
    <w:p>
      <w:pPr>
        <w:pStyle w:val="15"/>
        <w:rPr>
          <w:rFonts w:hint="eastAsia"/>
          <w:sz w:val="30"/>
          <w:szCs w:val="30"/>
        </w:rPr>
      </w:pPr>
      <w:r>
        <w:rPr>
          <w:rFonts w:hint="eastAsia"/>
          <w:sz w:val="30"/>
          <w:szCs w:val="30"/>
        </w:rPr>
        <w:t>　　（二）财政支出存在的问题</w:t>
      </w:r>
    </w:p>
    <w:p>
      <w:pPr>
        <w:pStyle w:val="15"/>
        <w:rPr>
          <w:rFonts w:hint="eastAsia"/>
          <w:sz w:val="30"/>
          <w:szCs w:val="30"/>
        </w:rPr>
      </w:pPr>
      <w:r>
        <w:rPr>
          <w:rFonts w:hint="eastAsia"/>
          <w:sz w:val="30"/>
          <w:szCs w:val="30"/>
        </w:rPr>
        <w:t>　　本项目严格审核控制资金支出，确保资金专款专用，做到资金支出与项目实际进度同步，无存在问题。</w:t>
      </w:r>
    </w:p>
    <w:p>
      <w:pPr>
        <w:pStyle w:val="15"/>
        <w:rPr>
          <w:rFonts w:hint="eastAsia"/>
          <w:sz w:val="30"/>
          <w:szCs w:val="30"/>
        </w:rPr>
      </w:pPr>
      <w:r>
        <w:rPr>
          <w:rFonts w:hint="eastAsia"/>
          <w:sz w:val="30"/>
          <w:szCs w:val="30"/>
        </w:rPr>
        <w:t>　　（三）支出政策制定方面存在的问题</w:t>
      </w:r>
    </w:p>
    <w:p>
      <w:pPr>
        <w:pStyle w:val="15"/>
        <w:rPr>
          <w:rFonts w:hint="eastAsia"/>
          <w:sz w:val="30"/>
          <w:szCs w:val="30"/>
        </w:rPr>
      </w:pPr>
      <w:r>
        <w:rPr>
          <w:rFonts w:hint="eastAsia"/>
          <w:sz w:val="30"/>
          <w:szCs w:val="30"/>
        </w:rPr>
        <w:t>　　本项目资金使用产生效益，并按照相关政策执行，支出政策制定方面无问题。</w:t>
      </w:r>
    </w:p>
    <w:p>
      <w:pPr>
        <w:pStyle w:val="15"/>
        <w:rPr>
          <w:rFonts w:hint="eastAsia"/>
          <w:sz w:val="30"/>
          <w:szCs w:val="30"/>
        </w:rPr>
      </w:pPr>
      <w:r>
        <w:rPr>
          <w:rFonts w:hint="eastAsia"/>
          <w:sz w:val="30"/>
          <w:szCs w:val="30"/>
        </w:rPr>
        <w:t>　　四、相关建议</w:t>
      </w:r>
    </w:p>
    <w:p>
      <w:pPr>
        <w:pStyle w:val="15"/>
        <w:rPr>
          <w:rFonts w:hint="eastAsia"/>
          <w:sz w:val="30"/>
          <w:szCs w:val="30"/>
        </w:rPr>
      </w:pPr>
      <w:r>
        <w:rPr>
          <w:rFonts w:hint="eastAsia"/>
          <w:sz w:val="30"/>
          <w:szCs w:val="30"/>
        </w:rPr>
        <w:t>　　按财政资金管理的有关规定科学地编制项目预算，设定绩效目标。根据设定的绩效目标进一步完善修改绩效指标，确保各类指标清晰。</w:t>
      </w:r>
    </w:p>
    <w:p>
      <w:pPr>
        <w:pStyle w:val="15"/>
        <w:rPr>
          <w:rFonts w:hint="eastAsia"/>
          <w:sz w:val="30"/>
          <w:szCs w:val="30"/>
        </w:rPr>
      </w:pPr>
      <w:r>
        <w:rPr>
          <w:rFonts w:hint="eastAsia"/>
          <w:sz w:val="30"/>
          <w:szCs w:val="30"/>
        </w:rPr>
        <w:t>　　五、下一步工作计划</w:t>
      </w:r>
    </w:p>
    <w:p>
      <w:pPr>
        <w:pStyle w:val="15"/>
        <w:rPr>
          <w:rFonts w:hint="eastAsia"/>
          <w:sz w:val="30"/>
          <w:szCs w:val="30"/>
        </w:rPr>
      </w:pPr>
      <w:r>
        <w:rPr>
          <w:rFonts w:hint="eastAsia"/>
          <w:sz w:val="30"/>
          <w:szCs w:val="30"/>
        </w:rPr>
        <w:t>　　1、加强检查监督，保证抚恤补助经费及时、准确、足额地发放到优抚对象等人员手中。</w:t>
      </w:r>
    </w:p>
    <w:p>
      <w:pPr>
        <w:pStyle w:val="15"/>
        <w:rPr>
          <w:rFonts w:hint="eastAsia"/>
          <w:sz w:val="30"/>
          <w:szCs w:val="30"/>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ascii="仿宋_GB2312" w:eastAsia="仿宋_GB2312"/>
        <w:sz w:val="28"/>
        <w:szCs w:val="28"/>
      </w:rPr>
    </w:pPr>
    <w:r>
      <w:rPr>
        <w:rStyle w:val="10"/>
        <w:rFonts w:hint="eastAsia" w:ascii="仿宋_GB2312" w:eastAsia="仿宋_GB2312"/>
        <w:sz w:val="28"/>
        <w:szCs w:val="28"/>
      </w:rPr>
      <w:fldChar w:fldCharType="begin"/>
    </w:r>
    <w:r>
      <w:rPr>
        <w:rStyle w:val="10"/>
        <w:rFonts w:hint="eastAsia" w:ascii="仿宋_GB2312" w:eastAsia="仿宋_GB2312"/>
        <w:sz w:val="28"/>
        <w:szCs w:val="28"/>
      </w:rPr>
      <w:instrText xml:space="preserve">PAGE  </w:instrText>
    </w:r>
    <w:r>
      <w:rPr>
        <w:rStyle w:val="10"/>
        <w:rFonts w:hint="eastAsia" w:ascii="仿宋_GB2312" w:eastAsia="仿宋_GB2312"/>
        <w:sz w:val="28"/>
        <w:szCs w:val="28"/>
      </w:rPr>
      <w:fldChar w:fldCharType="separate"/>
    </w:r>
    <w:r>
      <w:rPr>
        <w:rStyle w:val="10"/>
        <w:rFonts w:ascii="仿宋_GB2312" w:eastAsia="仿宋_GB2312"/>
        <w:sz w:val="28"/>
        <w:szCs w:val="28"/>
      </w:rPr>
      <w:t>- 6 -</w:t>
    </w:r>
    <w:r>
      <w:rPr>
        <w:rStyle w:val="10"/>
        <w:rFonts w:hint="eastAsia" w:ascii="仿宋_GB2312" w:eastAsia="仿宋_GB2312"/>
        <w:sz w:val="28"/>
        <w:szCs w:val="28"/>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435"/>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07D"/>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2658"/>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33AB"/>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34A"/>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07"/>
    <w:rsid w:val="006C59EC"/>
    <w:rsid w:val="006C5AE1"/>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C31"/>
    <w:rsid w:val="007A0DEA"/>
    <w:rsid w:val="007A1DD3"/>
    <w:rsid w:val="007A2AD2"/>
    <w:rsid w:val="007A4B51"/>
    <w:rsid w:val="007A50C9"/>
    <w:rsid w:val="007A52E0"/>
    <w:rsid w:val="007A5E15"/>
    <w:rsid w:val="007A612A"/>
    <w:rsid w:val="007A617B"/>
    <w:rsid w:val="007A7568"/>
    <w:rsid w:val="007A7F86"/>
    <w:rsid w:val="007B1467"/>
    <w:rsid w:val="007B146D"/>
    <w:rsid w:val="007B1982"/>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6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6172"/>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55B"/>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2803"/>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2E4D"/>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1F8A"/>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5228"/>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56A9"/>
    <w:rsid w:val="00D66931"/>
    <w:rsid w:val="00D70D35"/>
    <w:rsid w:val="00D711C3"/>
    <w:rsid w:val="00D711F0"/>
    <w:rsid w:val="00D722EF"/>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7AC"/>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399"/>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3C59"/>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4A5"/>
    <w:rsid w:val="00EF4568"/>
    <w:rsid w:val="00EF61EF"/>
    <w:rsid w:val="00F00424"/>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28A"/>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1F9A5233"/>
    <w:rsid w:val="71DA2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line="360" w:lineRule="auto"/>
      <w:outlineLvl w:val="0"/>
    </w:pPr>
    <w:rPr>
      <w:rFonts w:ascii="仿宋_GB2312" w:eastAsia="仿宋_GB2312"/>
      <w:bCs/>
      <w:snapToGrid w:val="0"/>
      <w:kern w:val="0"/>
      <w:szCs w:val="21"/>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3"/>
    <w:qFormat/>
    <w:uiPriority w:val="0"/>
    <w:pPr>
      <w:ind w:firstLine="200" w:firstLineChars="200"/>
      <w:jc w:val="left"/>
      <w:outlineLvl w:val="2"/>
    </w:pPr>
    <w:rPr>
      <w:rFonts w:ascii="Cambria" w:hAnsi="Cambria" w:eastAsia="黑体"/>
      <w:bCs/>
      <w:kern w:val="28"/>
      <w:sz w:val="28"/>
      <w:szCs w:val="32"/>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1 字符"/>
    <w:basedOn w:val="9"/>
    <w:link w:val="2"/>
    <w:qFormat/>
    <w:uiPriority w:val="0"/>
    <w:rPr>
      <w:rFonts w:ascii="仿宋_GB2312" w:hAnsi="Times New Roman" w:eastAsia="仿宋_GB2312" w:cs="Times New Roman"/>
      <w:bCs/>
      <w:snapToGrid w:val="0"/>
      <w:kern w:val="0"/>
      <w:szCs w:val="21"/>
    </w:rPr>
  </w:style>
  <w:style w:type="character" w:customStyle="1" w:styleId="12">
    <w:name w:val="页脚 字符"/>
    <w:basedOn w:val="9"/>
    <w:link w:val="3"/>
    <w:qFormat/>
    <w:uiPriority w:val="99"/>
    <w:rPr>
      <w:rFonts w:ascii="Times New Roman" w:hAnsi="Times New Roman" w:eastAsia="宋体" w:cs="Times New Roman"/>
      <w:sz w:val="18"/>
      <w:szCs w:val="18"/>
    </w:rPr>
  </w:style>
  <w:style w:type="character" w:customStyle="1" w:styleId="13">
    <w:name w:val="副标题 字符"/>
    <w:basedOn w:val="9"/>
    <w:link w:val="5"/>
    <w:qFormat/>
    <w:uiPriority w:val="0"/>
    <w:rPr>
      <w:rFonts w:ascii="Cambria" w:hAnsi="Cambria" w:eastAsia="黑体" w:cs="Times New Roman"/>
      <w:bCs/>
      <w:kern w:val="28"/>
      <w:sz w:val="28"/>
      <w:szCs w:val="32"/>
    </w:rPr>
  </w:style>
  <w:style w:type="character" w:customStyle="1" w:styleId="14">
    <w:name w:val="页眉 字符"/>
    <w:basedOn w:val="9"/>
    <w:link w:val="4"/>
    <w:qFormat/>
    <w:uiPriority w:val="99"/>
    <w:rPr>
      <w:rFonts w:ascii="Times New Roman" w:hAnsi="Times New Roman" w:eastAsia="宋体" w:cs="Times New Roman"/>
      <w:sz w:val="18"/>
      <w:szCs w:val="18"/>
    </w:rPr>
  </w:style>
  <w:style w:type="paragraph" w:styleId="1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5</Pages>
  <Words>358</Words>
  <Characters>2042</Characters>
  <Lines>17</Lines>
  <Paragraphs>4</Paragraphs>
  <TotalTime>290</TotalTime>
  <ScaleCrop>false</ScaleCrop>
  <LinksUpToDate>false</LinksUpToDate>
  <CharactersWithSpaces>2396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2018-04-17T07:41:00Z</cp:lastPrinted>
  <dcterms:modified xsi:type="dcterms:W3CDTF">2025-01-14T00:53:21Z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38816164560E430A9EF120D5A99E0289</vt:lpwstr>
  </property>
</Properties>
</file>